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HIRSCHHORN MARK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AMERICAN WELL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 STATE ST, STE.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American Well Corp</w:t>
              </w:r>
            </w:hyperlink>
            <w:r>
              <w:rPr/>
              <w:t xml:space="preserve"> [ </w:t>
            </w:r>
            <w:r>
              <w:rPr>
                <w:rFonts w:ascii="Times;serif" w:hAnsi="Times;serif"/>
                <w:color w:val="0000FF"/>
                <w:sz w:val="24"/>
                <w:shd w:fill="FFFFFF" w:val="clear"/>
              </w:rPr>
              <w:t>AMWL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4,282</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223,906</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made in order to pay the tax liability arising from the vesting and settlement of restricted stock units on October 1, 2026. The sales were effected through and automatic "sell to cover" transaction that did not represent a discretionary trade by the reporting person.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Anna Nesterova as attorney-in-fact for Mark Hirschhorn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081343" TargetMode="External"/><Relationship Id="rId5" Type="http://schemas.openxmlformats.org/officeDocument/2006/relationships/hyperlink" Target="http://www.sec.gov/cgi-bin/browse-edgar?action=getcompany&amp;CIK=000139358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626</Words>
  <Characters>3375</Characters>
  <CharactersWithSpaces>3933</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