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Gotlib Phyllis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WELL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STATE STREET,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Well Corp</w:t>
              </w:r>
            </w:hyperlink>
            <w:r>
              <w:rPr/>
              <w:t xml:space="preserve"> [ </w:t>
            </w:r>
            <w:r>
              <w:rPr>
                <w:rFonts w:ascii="Times;serif" w:hAnsi="Times;serif"/>
                <w:color w:val="0000FF"/>
                <w:sz w:val="24"/>
                <w:shd w:fill="FFFFFF" w:val="clear"/>
              </w:rPr>
              <w:t>AMWL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International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851"/>
        <w:gridCol w:w="459"/>
        <w:gridCol w:w="673"/>
        <w:gridCol w:w="1170"/>
        <w:gridCol w:w="1003"/>
        <w:gridCol w:w="9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6,677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9.33</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152,754</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114,920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husband</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made in order to pay the tax liability arising from the vesting and settlement of restricted stock units on July 1, 2026. The sales were effected through and automatic "sell to cover" transaction that did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Nesterova as attorney-in-fact for Phyllis Gotlib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4038" TargetMode="External"/><Relationship Id="rId5" Type="http://schemas.openxmlformats.org/officeDocument/2006/relationships/hyperlink" Target="http://www.sec.gov/cgi-bin/browse-edgar?action=getcompany&amp;CIK=0001393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3392</Characters>
  <CharactersWithSpaces>3958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