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American Well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Senvest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1,329,057.00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1,329,057.00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1,329,057.00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Richard Mashaal</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1,329,057.00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1,329,057.00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1,329,057.00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8"/>
        <w:gridCol w:w="8902"/>
        <w:gridCol w:w="155"/>
      </w:tblGrid>
      <w:tr>
        <w:trPr/>
        <w:tc>
          <w:tcPr>
            <w:tcW w:w="1148" w:type="dxa"/>
            <w:tcBorders/>
            <w:vAlign w:val="center"/>
          </w:tcPr>
          <w:p>
            <w:pPr>
              <w:pStyle w:val="TableContents"/>
              <w:bidi w:val="0"/>
              <w:spacing w:before="0" w:after="283"/>
              <w:jc w:val="left"/>
              <w:rPr/>
            </w:pPr>
            <w:r>
              <w:rPr/>
              <w:t>Item 1.</w:t>
            </w:r>
          </w:p>
        </w:tc>
        <w:tc>
          <w:tcPr>
            <w:tcW w:w="890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Name of issuer: </w:t>
            </w:r>
          </w:p>
          <w:p>
            <w:pPr>
              <w:pStyle w:val="TableContents"/>
              <w:bidi w:val="0"/>
              <w:spacing w:before="0" w:after="0"/>
              <w:jc w:val="left"/>
              <w:rPr/>
            </w:pPr>
            <w:r>
              <w:rPr/>
              <w:t>American Well Corp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75 State Street, 26th Floor, Boston, MA 02109</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2.</w:t>
            </w:r>
          </w:p>
        </w:tc>
        <w:tc>
          <w:tcPr>
            <w:tcW w:w="890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Senvest Management, LLC and Richard Mashaal, with respect to the Class A common stock, par value $0.01 per share ("Class A Common Stock"), of American Well Corporation, a Delaware corporation (the "Company"). The reported securities are held in the account of Senvest Master Fund, LP and Senvest Technology Partners Master Fund, LP (collectively, the "Investment Vehicles"). Senvest Management, LLC may be deemed to beneficially own the securities held by the Investment Vehicles by virtue of Senvest Management, LLC's position as investment manager of the Investment Vehicles. Mr. Mashaal may be deemed to beneficially own the securities held by the Investment Vehicles by virtue of Mr. Mashaal's status as the managing member of Senvest Management, LLC. None of the foregoing should be construed in and of itself as an admission by any Reporting Person as to beneficial ownership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Senvest Management, LLC 540 Madison Avenue, 32nd Floor New York, New York 10022 Richard Mashaal c/o Senvest Management, LLC 540 Madison Avenue, 32nd Floor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jc w:val="left"/>
              <w:rPr/>
            </w:pPr>
            <w:r>
              <w:rPr/>
              <w:t xml:space="preserve">Citizenship: </w:t>
            </w:r>
          </w:p>
          <w:p>
            <w:pPr>
              <w:pStyle w:val="TableContents"/>
              <w:bidi w:val="0"/>
              <w:spacing w:before="0" w:after="0"/>
              <w:jc w:val="left"/>
              <w:rPr/>
            </w:pPr>
            <w:r>
              <w:rPr/>
              <w:t>Senvest Management, LLC - Delaware Richard Mashaal - Canada</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3.</w:t>
            </w:r>
          </w:p>
        </w:tc>
        <w:tc>
          <w:tcPr>
            <w:tcW w:w="890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(f)</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(g)</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(h)</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(j)</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(k)</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9057" w:type="dxa"/>
            <w:gridSpan w:val="2"/>
            <w:tcBorders/>
            <w:vAlign w:val="center"/>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4.</w:t>
            </w:r>
          </w:p>
        </w:tc>
        <w:tc>
          <w:tcPr>
            <w:tcW w:w="890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15,061,188 shares of Class A Common Stock outstanding as of April 24, 2026, as reported in the Company's Quarterly Report on Form 10-Q for the quarterly period ended March 31, 2026, filed with the Securities and Exchange Commission on May 5, 2026.</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8.8%  %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5.</w:t>
            </w:r>
          </w:p>
        </w:tc>
        <w:tc>
          <w:tcPr>
            <w:tcW w:w="890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6.</w:t>
            </w:r>
          </w:p>
        </w:tc>
        <w:tc>
          <w:tcPr>
            <w:tcW w:w="890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Investment Vehicles have the right to receive and the power to direct the receipt of dividends from, and the proceeds from the sale of, the shares of Class A Common Stock. Senvest Master Fund, LP has the right to receive and the power to direct the receipt of dividends from, and the proceeds from the sale of, more than 5% of the shares of 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7.</w:t>
            </w:r>
          </w:p>
        </w:tc>
        <w:tc>
          <w:tcPr>
            <w:tcW w:w="890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8.</w:t>
            </w:r>
          </w:p>
        </w:tc>
        <w:tc>
          <w:tcPr>
            <w:tcW w:w="890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9.</w:t>
            </w:r>
          </w:p>
        </w:tc>
        <w:tc>
          <w:tcPr>
            <w:tcW w:w="890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828" w:type="dxa"/>
        <w:jc w:val="left"/>
        <w:tblInd w:w="0" w:type="dxa"/>
        <w:tblLayout w:type="fixed"/>
        <w:tblCellMar>
          <w:top w:w="28" w:type="dxa"/>
          <w:left w:w="28" w:type="dxa"/>
          <w:bottom w:w="28" w:type="dxa"/>
          <w:right w:w="28" w:type="dxa"/>
        </w:tblCellMar>
      </w:tblPr>
      <w:tblGrid>
        <w:gridCol w:w="2914"/>
        <w:gridCol w:w="2914"/>
      </w:tblGrid>
      <w:tr>
        <w:trPr/>
        <w:tc>
          <w:tcPr>
            <w:tcW w:w="2914" w:type="dxa"/>
            <w:tcBorders/>
            <w:vAlign w:val="center"/>
          </w:tcPr>
          <w:p>
            <w:pPr>
              <w:pStyle w:val="TableContents"/>
              <w:bidi w:val="0"/>
              <w:spacing w:before="0" w:after="0"/>
              <w:jc w:val="left"/>
              <w:rPr/>
            </w:pPr>
            <w:r>
              <w:rPr/>
              <w:t> </w:t>
            </w:r>
          </w:p>
          <w:tbl>
            <w:tblPr>
              <w:tblW w:w="2776" w:type="dxa"/>
              <w:jc w:val="left"/>
              <w:tblInd w:w="0" w:type="dxa"/>
              <w:tblLayout w:type="fixed"/>
              <w:tblCellMar>
                <w:top w:w="28" w:type="dxa"/>
                <w:left w:w="28" w:type="dxa"/>
                <w:bottom w:w="28" w:type="dxa"/>
                <w:right w:w="28" w:type="dxa"/>
              </w:tblCellMar>
            </w:tblPr>
            <w:tblGrid>
              <w:gridCol w:w="2776"/>
            </w:tblGrid>
            <w:tr>
              <w:trPr/>
              <w:tc>
                <w:tcPr>
                  <w:tcW w:w="2776" w:type="dxa"/>
                  <w:tcBorders/>
                  <w:vAlign w:val="center"/>
                </w:tcPr>
                <w:p>
                  <w:pPr>
                    <w:pStyle w:val="TableContents"/>
                    <w:bidi w:val="0"/>
                    <w:spacing w:before="0" w:after="0"/>
                    <w:jc w:val="left"/>
                    <w:rPr/>
                  </w:pPr>
                  <w:r>
                    <w:rPr/>
                    <w:t>Senvest Management, LLC</w:t>
                  </w:r>
                </w:p>
              </w:tc>
            </w:tr>
          </w:tbl>
          <w:p>
            <w:pPr>
              <w:pStyle w:val="TableContents"/>
              <w:bidi w:val="0"/>
              <w:spacing w:before="0" w:after="283"/>
              <w:jc w:val="left"/>
              <w:rPr/>
            </w:pPr>
            <w:r>
              <w:rPr/>
            </w:r>
          </w:p>
        </w:tc>
        <w:tc>
          <w:tcPr>
            <w:tcW w:w="29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Bobby Trahanas</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Bobby Trahanas, Chief Compliance Officer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tbl>
      <w:tblPr>
        <w:tblW w:w="3750" w:type="dxa"/>
        <w:jc w:val="left"/>
        <w:tblInd w:w="0" w:type="dxa"/>
        <w:tblLayout w:type="fixed"/>
        <w:tblCellMar>
          <w:top w:w="28" w:type="dxa"/>
          <w:left w:w="28" w:type="dxa"/>
          <w:bottom w:w="28" w:type="dxa"/>
          <w:right w:w="28" w:type="dxa"/>
        </w:tblCellMar>
      </w:tblPr>
      <w:tblGrid>
        <w:gridCol w:w="1875"/>
        <w:gridCol w:w="1875"/>
      </w:tblGrid>
      <w:tr>
        <w:trPr/>
        <w:tc>
          <w:tcPr>
            <w:tcW w:w="1875" w:type="dxa"/>
            <w:tcBorders/>
            <w:vAlign w:val="center"/>
          </w:tcPr>
          <w:p>
            <w:pPr>
              <w:pStyle w:val="TableContents"/>
              <w:bidi w:val="0"/>
              <w:spacing w:before="0" w:after="0"/>
              <w:jc w:val="left"/>
              <w:rPr/>
            </w:pPr>
            <w:r>
              <w:rPr/>
              <w:t> </w:t>
            </w:r>
          </w:p>
          <w:tbl>
            <w:tblPr>
              <w:tblW w:w="1771" w:type="dxa"/>
              <w:jc w:val="left"/>
              <w:tblInd w:w="0" w:type="dxa"/>
              <w:tblLayout w:type="fixed"/>
              <w:tblCellMar>
                <w:top w:w="28" w:type="dxa"/>
                <w:left w:w="28" w:type="dxa"/>
                <w:bottom w:w="28" w:type="dxa"/>
                <w:right w:w="28" w:type="dxa"/>
              </w:tblCellMar>
            </w:tblPr>
            <w:tblGrid>
              <w:gridCol w:w="1771"/>
            </w:tblGrid>
            <w:tr>
              <w:trPr/>
              <w:tc>
                <w:tcPr>
                  <w:tcW w:w="1771" w:type="dxa"/>
                  <w:tcBorders/>
                  <w:vAlign w:val="center"/>
                </w:tcPr>
                <w:p>
                  <w:pPr>
                    <w:pStyle w:val="TableContents"/>
                    <w:bidi w:val="0"/>
                    <w:spacing w:before="0" w:after="0"/>
                    <w:jc w:val="left"/>
                    <w:rPr/>
                  </w:pPr>
                  <w:r>
                    <w:rPr/>
                    <w:t>Richard Mashaal</w:t>
                  </w:r>
                </w:p>
              </w:tc>
            </w:tr>
          </w:tbl>
          <w:p>
            <w:pPr>
              <w:pStyle w:val="TableContents"/>
              <w:bidi w:val="0"/>
              <w:spacing w:before="0" w:after="283"/>
              <w:jc w:val="left"/>
              <w:rPr/>
            </w:pPr>
            <w:r>
              <w:rPr/>
            </w:r>
          </w:p>
        </w:tc>
        <w:tc>
          <w:tcPr>
            <w:tcW w:w="18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7"/>
        <w:gridCol w:w="4378"/>
      </w:tblGrid>
      <w:tr>
        <w:trPr/>
        <w:tc>
          <w:tcPr>
            <w:tcW w:w="582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Richard Mashaal</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Richard Mashaal, Individually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7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1377</Words>
  <Characters>6959</Characters>
  <CharactersWithSpaces>8306</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