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Zamansky Dmitry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WELL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STATE STREET,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Well Corp</w:t>
              </w:r>
            </w:hyperlink>
            <w:r>
              <w:rPr/>
              <w:t xml:space="preserve"> [ </w:t>
            </w:r>
            <w:r>
              <w:rPr>
                <w:rFonts w:ascii="Times;serif" w:hAnsi="Times;serif"/>
                <w:color w:val="0000FF"/>
                <w:sz w:val="24"/>
                <w:shd w:fill="FFFFFF" w:val="clear"/>
              </w:rPr>
              <w:t>AMWL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&amp; Tech.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224,178</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made in order to pay the tax liability arising from the vesting and settlement of restricted stock units on October 1, 2026. The sales were effected through and automatic "sell to cover" transaction that did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Nesterova as attorney-in-fact for Dmitry Zamansky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643" TargetMode="External"/><Relationship Id="rId5" Type="http://schemas.openxmlformats.org/officeDocument/2006/relationships/hyperlink" Target="http://www.sec.gov/cgi-bin/browse-edgar?action=getcompany&amp;CIK=0001393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3383</Characters>
  <CharactersWithSpaces>3943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