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Well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001-39515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20-5009396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75 State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02109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617 204-3500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AMWL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5, 2026, American Well Corporation (the "Company") announced its financial results for the fiscal quarter ended March 31, 2026. The Company's Earnings Report is furnished as Exhibit 99.1 to this Form 8-K and is incorporated by reference herein.</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to discuss its financial results today at 5 p.m. ET. The call can be accessed via a live audio webcast at https://edge.media-server.com/mmc/p/b826q95x/. A webcast replay will be available for approximately 90 days at investors.amwell.com.</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being filed herewith:</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Earnings Report, dated May 5, 2026, issued by American Well Corporation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3455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567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AMERICAN WELL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Anna Nesterova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Anna Nesterova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Head of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41414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28257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AMWELL® ANNOUNCES RESULTS FOR FIRST QUARTER 2026</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BOSTON, May 5, 2026 –Amwell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AMWL), a leading provider of a comprehensive SaaS-based technology-enabled healthcare platform,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first quarter ended Mar. 31, 2026.</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“Entering 2026, Amwell’s main focus was to consolidate our platform to fulfill the unmet needs of our Payer and Provider customers. The Technology-Enabled Care infrastructure we have developed to fill that gap in the market continues to gain traction as customers recognize its clear advantages: lower costs, better outcomes, stronger market share and an increased level of control and agility. Our platform is performing well and built to leverage the latest AI-powered innovations, positioning it as essential infrastructure for tech-enabled care delivery,” said Dr. Ido Schoenberg, Chairman and CEO of Amwell. “We are seeing powerful validation of the platform with significant pipeline growth and a number of meaningful renewals. With this momentum and the favorable regulatory tailwinds, Amwell is well-positioned for continued strong execution this year and to reach our goal of positive cash flow from operations in the fourth quarter.”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Amwell First Quarter 2026 Highlights:</w:t>
      </w:r>
    </w:p>
    <w:p>
      <w:pPr>
        <w:spacing w:after="0" w:line="121" w:lineRule="exact"/>
        <w:rPr>
          <w:sz w:val="20"/>
          <w:szCs w:val="20"/>
          <w:color w:val="auto"/>
        </w:rPr>
      </w:pPr>
    </w:p>
    <w:p>
      <w:pPr>
        <w:ind w:left="760" w:right="3440" w:hanging="752"/>
        <w:spacing w:after="0" w:line="261" w:lineRule="auto"/>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Total Revenue of $54.9 million exceeding the previously provided financial guidance for Q1 o Achieved subscription revenue of $24.9 million</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Recorded Amwell Medical Group (“AMG”) visit revenue of $28.9 million</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gross margin of 51%</w:t>
      </w:r>
    </w:p>
    <w:p>
      <w:pPr>
        <w:spacing w:after="0" w:line="9" w:lineRule="exact"/>
        <w:rPr>
          <w:rFonts w:ascii="Times New Roman" w:cs="Times New Roman" w:eastAsia="Times New Roman" w:hAnsi="Times New Roman"/>
          <w:sz w:val="18"/>
          <w:szCs w:val="18"/>
          <w:color w:val="auto"/>
        </w:rPr>
      </w:pPr>
    </w:p>
    <w:p>
      <w:pPr>
        <w:ind w:left="380" w:right="540" w:hanging="372"/>
        <w:spacing w:after="0" w:line="250"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($10.3) million, compared to ($25.2) million in fourth quarter of 2025, continuously moving from quarter to quarter in a favorable trajectory</w:t>
      </w: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($3.1) million compared to ($10.3) million in the fourth quarter of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visits were 1.1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reaffirmed its 2026 revenue and AMG visits guidance and updated its Adjusted EBITDA outlook:</w:t>
      </w:r>
    </w:p>
    <w:p>
      <w:pPr>
        <w:spacing w:after="0" w:line="2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range of $195 to $205 million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AMG visits between 1.32 and 1.37 million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 the range of between ($16) million to ($12)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provided financial guidance for Q2 2026 Revenue and adjusted EBITDA:</w:t>
      </w:r>
    </w:p>
    <w:p>
      <w:pPr>
        <w:spacing w:after="0" w:line="6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revenue in the range of $48- $52 million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adjusted EBITDA in the range of ($4) – ($2)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reiterated its objective to achieve positive cash flow from operations in the fourth quarter of 2026.</w:t>
      </w:r>
    </w:p>
    <w:p>
      <w:pPr>
        <w:spacing w:after="0" w:line="27" w:lineRule="exact"/>
        <w:rPr>
          <w:sz w:val="20"/>
          <w:szCs w:val="20"/>
          <w:color w:val="auto"/>
        </w:rPr>
      </w:pPr>
    </w:p>
    <w:p>
      <w:pPr>
        <w:jc w:val="both"/>
        <w:ind w:right="1320"/>
        <w:spacing w:after="0" w:line="260" w:lineRule="auto"/>
        <w:rPr>
          <w:sz w:val="20"/>
          <w:szCs w:val="20"/>
          <w:color w:val="auto"/>
        </w:rPr>
      </w:pPr>
      <w:r>
        <w:rPr>
          <w:rFonts w:ascii="Times New Roman" w:cs="Times New Roman" w:eastAsia="Times New Roman" w:hAnsi="Times New Roman"/>
          <w:sz w:val="18"/>
          <w:szCs w:val="18"/>
          <w:color w:val="auto"/>
        </w:rPr>
        <w:t>Amwell will host a conference call to discuss its financial results today at 5 p.m. ET. The call can be accessed via a live audio webcast at https://edge.media-server.com/mmc/p/b826q95x/. A webcast replay will be available for approximately 90 days at investors.amwell.com.</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than with respect to GAAP Revenue, the Company only provides guidance on a non-GAAP basis. The Company does not provide a reconciliation of forward-looking Adjusted EBITDA (non-GAAP) to GAAP net income (loss), due to the inherent difficulty in forecasting and quantifying certain amounts that are necessary for such reconciliation. Because other deductions used to calculate projected net income (loss) vary dramatically based on actual events, the Company is not able to forecast on a GAAP basis with reasonable certainty all deductions needed in order to provide a GAAP calculation of projected net income (loss) at this time. The amount of these deductions may be material and, therefore, could result in projected GAAP net income (loss) being materially less than projected Adjusted EBITDA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Amwell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Amwell offers payers and health systems a single, comprehensive, technology-enabled care platform. We use technology to provide patients with better access to more convenient, affordable and effective care. The Amwell platform includes software and services that power many clinical programs from Amwell and our growing number of partners. Our platform allows patients to experience unified, personalized and simple access to diversified clinical programs across the care continuum. As more people seek care online and more clinical programs become available, we offer integrated, future-ready, consistent solutions. The Amwell platform is proven, operating at a large scale, enabling care for millions of patients and their sponsors while delivering dependable outcomes. For almost two decades, Amwell has proudly served some of the largest and most sophisticated healthcare organizations in the U.S. . For more information, visit business.amwell.com or LinkedIn.</w:t>
      </w:r>
    </w:p>
    <w:p>
      <w:pPr>
        <w:spacing w:after="0" w:line="193"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8"/>
          <w:szCs w:val="18"/>
          <w:i w:val="1"/>
          <w:iCs w:val="1"/>
          <w:color w:val="auto"/>
        </w:rPr>
        <w:t>©2026American Well Corporation. All rights reserved. Amwell®, SilverCloud®, Amwell Platform</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Amwell Converge ®, Carepoint</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xml:space="preserve"> and the Amwell Logo are registered trademarks or trademarks of American Well Corporation.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“could,” “estimate,” “expect,” “intend,” “may,” “plan,” “potential,” “predict,” “project,” “should,” “will,” or “would,” or the negative of these words or other similar terms or expressions.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beliefs and assumptions only as of the date of this release. These statements, and related risks, uncertainties, factors and assumptions, include, but are not limited to: our ability to successfully transition our clients to our current platform without significant attrition; our ability to renew and upsell our client base; the election by the Defense Health Agency to deploy our solution across their entire enterprise; the continuation of the DHA relationship beyond July 2026 with comparable financial terms; weak growth and increased volatility in the telehealth market; our ability to adapt to rapid technological changes; increased competition from existing and potential new participants in the healthcare industry; changes in healthcare laws, regulations or trends and our ability to operate in the heavily regulated healthcare industry; our ability to comply with federal and state privacy regulations; the significant liability that could result from a cybersecurity breach; our ability to commence and complete and strategic transformation initiatives and the impact of such initiatives; and other factors described under ‘Risk Factors’ in our most recent form 10-K filed with the SEC.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These filings, when available, are available on the investor relations section of our website at investors.amwell.com and on the SEC’s website at www.sec.gov</w:t>
      </w:r>
      <w:r>
        <w:rPr>
          <w:rFonts w:ascii="Times New Roman" w:cs="Times New Roman" w:eastAsia="Times New Roman" w:hAnsi="Times New Roman"/>
          <w:sz w:val="18"/>
          <w:szCs w:val="18"/>
          <w:u w:val="single" w:color="auto"/>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Press@amwell.com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Asher Dewhurst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amwell@icrhealthcare.com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 w:name="page6"/>
    <w:bookmarkEnd w:id="5"/>
    <w:p>
      <w:pPr>
        <w:ind w:left="4400"/>
        <w:spacing w:after="0"/>
        <w:rPr>
          <w:sz w:val="20"/>
          <w:szCs w:val="20"/>
          <w:color w:val="auto"/>
        </w:rPr>
      </w:pPr>
      <w:r>
        <w:rPr>
          <w:rFonts w:ascii="Times New Roman" w:cs="Times New Roman" w:eastAsia="Times New Roman" w:hAnsi="Times New Roman"/>
          <w:sz w:val="14"/>
          <w:szCs w:val="14"/>
          <w:b w:val="1"/>
          <w:bCs w:val="1"/>
          <w:color w:val="auto"/>
        </w:rPr>
        <w:t>AMERICAN WELL CORPORATION</w:t>
      </w:r>
    </w:p>
    <w:p>
      <w:pPr>
        <w:ind w:left="43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8"/>
              </w:rPr>
              <w:t>December 31, 2025</w:t>
            </w:r>
          </w:p>
        </w:tc>
      </w:tr>
      <w:tr>
        <w:trPr>
          <w:trHeight w:val="19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179,207</w:t>
            </w:r>
          </w:p>
        </w:tc>
        <w:tc>
          <w:tcPr>
            <w:tcW w:w="1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182,328</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81"/>
        </w:trPr>
        <w:tc>
          <w:tcPr>
            <w:tcW w:w="668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($819 and $955, from related parties and net of</w:t>
            </w: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allowances of $10,992 and $9,463, respectively)</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57,092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49,693</w:t>
            </w:r>
          </w:p>
        </w:tc>
        <w:tc>
          <w:tcPr>
            <w:tcW w:w="100" w:type="dxa"/>
            <w:vAlign w:val="bottom"/>
            <w:shd w:val="clear" w:color="auto" w:fill="CFF0FC"/>
          </w:tcPr>
          <w:p>
            <w:pPr>
              <w:spacing w:after="0"/>
              <w:rPr>
                <w:sz w:val="19"/>
                <w:szCs w:val="19"/>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contract acquisition costs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10,813</w:t>
            </w:r>
          </w:p>
        </w:tc>
        <w:tc>
          <w:tcPr>
            <w:tcW w:w="100" w:type="dxa"/>
            <w:vAlign w:val="bottom"/>
          </w:tcPr>
          <w:p>
            <w:pPr>
              <w:spacing w:after="0"/>
              <w:rPr>
                <w:sz w:val="17"/>
                <w:szCs w:val="17"/>
                <w:color w:val="auto"/>
              </w:rPr>
            </w:pPr>
          </w:p>
        </w:tc>
      </w:tr>
      <w:tr>
        <w:trPr>
          <w:trHeight w:val="19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259,050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246,681</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66,073</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contract acquisition costs, net of current portion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4,459</w:t>
            </w:r>
          </w:p>
        </w:tc>
        <w:tc>
          <w:tcPr>
            <w:tcW w:w="100" w:type="dxa"/>
            <w:vAlign w:val="bottom"/>
          </w:tcPr>
          <w:p>
            <w:pPr>
              <w:spacing w:after="0"/>
              <w:rPr>
                <w:sz w:val="17"/>
                <w:szCs w:val="17"/>
                <w:color w:val="auto"/>
              </w:rPr>
            </w:pPr>
          </w:p>
        </w:tc>
      </w:tr>
      <w:tr>
        <w:trPr>
          <w:trHeight w:val="203"/>
        </w:trPr>
        <w:tc>
          <w:tcPr>
            <w:tcW w:w="6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325,967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323,787</w:t>
            </w:r>
          </w:p>
        </w:tc>
        <w:tc>
          <w:tcPr>
            <w:tcW w:w="10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45,308</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 ($65 and $113 from related parties, respectively)</w:t>
            </w: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22,625</w:t>
            </w:r>
          </w:p>
        </w:tc>
        <w:tc>
          <w:tcPr>
            <w:tcW w:w="100" w:type="dxa"/>
            <w:vAlign w:val="bottom"/>
          </w:tcPr>
          <w:p>
            <w:pPr>
              <w:spacing w:after="0"/>
              <w:rPr>
                <w:sz w:val="17"/>
                <w:szCs w:val="17"/>
                <w:color w:val="auto"/>
              </w:rPr>
            </w:pPr>
          </w:p>
        </w:tc>
      </w:tr>
      <w:tr>
        <w:trPr>
          <w:trHeight w:val="19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83,773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73,214</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liability, net of current portion</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tcPr>
          <w:p>
            <w:pPr>
              <w:spacing w:after="0"/>
              <w:rPr>
                <w:sz w:val="17"/>
                <w:szCs w:val="17"/>
                <w:color w:val="auto"/>
              </w:rPr>
            </w:pPr>
          </w:p>
        </w:tc>
      </w:tr>
      <w:tr>
        <w:trPr>
          <w:trHeight w:val="196"/>
        </w:trPr>
        <w:tc>
          <w:tcPr>
            <w:tcW w:w="66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85,845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75,999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668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$0.01 par value; 100,000,000 shares authorized, no shares issued</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or outstanding as of March 31, 2026 and as of December 31, 2025</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668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$0.01 par value; 1,000,000,000 Class A shares authorized,</w:t>
            </w: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15,011,477 and 14,782,788 shares issued and outstanding, respectively;</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100,000,000 Class B shares authorized, 1,369,518 shares issued and</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outstanding; 200,000,000 Class C shares authorized 277,777 issued and</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outstanding as of March 31, 2026 and as of December 31, 2025</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FF0FC"/>
          </w:tcPr>
          <w:p>
            <w:pPr>
              <w:spacing w:after="0"/>
              <w:rPr>
                <w:sz w:val="19"/>
                <w:szCs w:val="19"/>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2,311,750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2,309,145</w:t>
            </w:r>
          </w:p>
        </w:tc>
        <w:tc>
          <w:tcPr>
            <w:tcW w:w="100" w:type="dxa"/>
            <w:vAlign w:val="bottom"/>
          </w:tcPr>
          <w:p>
            <w:pPr>
              <w:spacing w:after="0"/>
              <w:rPr>
                <w:sz w:val="17"/>
                <w:szCs w:val="17"/>
                <w:color w:val="auto"/>
              </w:rPr>
            </w:pPr>
          </w:p>
        </w:tc>
      </w:tr>
      <w:tr>
        <w:trPr>
          <w:trHeight w:val="203"/>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(12,071)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(12,099)</w:t>
            </w: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(2,072,514)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(2,061,628)</w:t>
            </w:r>
          </w:p>
        </w:tc>
      </w:tr>
      <w:tr>
        <w:trPr>
          <w:trHeight w:val="19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American Well Corporation stockholders’ equity</w:t>
            </w:r>
          </w:p>
        </w:tc>
        <w:tc>
          <w:tcPr>
            <w:tcW w:w="9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227,332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235,583</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12,205</w:t>
            </w:r>
          </w:p>
        </w:tc>
        <w:tc>
          <w:tcPr>
            <w:tcW w:w="100" w:type="dxa"/>
            <w:vAlign w:val="bottom"/>
          </w:tcPr>
          <w:p>
            <w:pPr>
              <w:spacing w:after="0"/>
              <w:rPr>
                <w:sz w:val="17"/>
                <w:szCs w:val="17"/>
                <w:color w:val="auto"/>
              </w:rPr>
            </w:pPr>
          </w:p>
        </w:tc>
      </w:tr>
      <w:tr>
        <w:trPr>
          <w:trHeight w:val="196"/>
        </w:trPr>
        <w:tc>
          <w:tcPr>
            <w:tcW w:w="6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240,122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325,967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323,787</w:t>
            </w:r>
          </w:p>
        </w:tc>
        <w:tc>
          <w:tcPr>
            <w:tcW w:w="10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5"/>
        </w:trPr>
        <w:tc>
          <w:tcPr>
            <w:tcW w:w="6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-4628515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-3034030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($580 and $432 from related parties, respectively)</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54,883</w:t>
            </w:r>
          </w:p>
        </w:tc>
        <w:tc>
          <w:tcPr>
            <w:tcW w:w="3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 excluding depreciation and amortization of intangible assets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8"/>
                <w:szCs w:val="18"/>
                <w:color w:val="auto"/>
              </w:rPr>
            </w:pPr>
          </w:p>
        </w:tc>
      </w:tr>
      <w:tr>
        <w:trPr>
          <w:trHeight w:val="209"/>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(17,424)</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(30,411)</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gain on divestiture</w:t>
            </w: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expense from income taxes and loss from equity method investment</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(10,084)</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(17,010)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r>
      <w:tr>
        <w:trPr>
          <w:trHeight w:val="20"/>
        </w:trPr>
        <w:tc>
          <w:tcPr>
            <w:tcW w:w="68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(18,356)</w:t>
            </w: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American Well Corporation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(10,886)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(18,704)</w:t>
            </w:r>
          </w:p>
        </w:tc>
      </w:tr>
      <w:tr>
        <w:trPr>
          <w:trHeight w:val="20"/>
        </w:trPr>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16,589,671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15,672,373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(10,301)</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(18,356)</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68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(10,273)</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(18,699)</w:t>
            </w: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American Well Corporation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(10,858)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(19,047)</w:t>
            </w:r>
          </w:p>
        </w:tc>
      </w:tr>
      <w:tr>
        <w:trPr>
          <w:trHeight w:val="20"/>
        </w:trPr>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5"/>
        </w:trPr>
        <w:tc>
          <w:tcPr>
            <w:tcW w:w="6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-3350895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-2510790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-2228215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-1370965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-1088390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3520" w:type="dxa"/>
            <w:vAlign w:val="bottom"/>
            <w:gridSpan w:val="7"/>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197"/>
        </w:trPr>
        <w:tc>
          <w:tcPr>
            <w:tcW w:w="77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(10,301)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(18,356)</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 on right of use asset</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Provisions for credit losses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(204)</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Amortization of deferred contract acquisition costs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deferred contract fulfillment costs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Inventory provisions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gain on divestiture</w:t>
            </w:r>
          </w:p>
        </w:tc>
        <w:tc>
          <w:tcPr>
            <w:tcW w:w="9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(10,713)</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equity method investment</w:t>
            </w:r>
          </w:p>
        </w:tc>
        <w:tc>
          <w:tcPr>
            <w:tcW w:w="9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(9,599)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(7,274)</w:t>
            </w: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Inventories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contract acquisition costs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(675)</w:t>
            </w: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(786)</w:t>
            </w: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(302)</w:t>
            </w: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(8,978)</w:t>
            </w:r>
          </w:p>
        </w:tc>
      </w:tr>
      <w:tr>
        <w:trPr>
          <w:trHeight w:val="202"/>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(983)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(25,108)</w:t>
            </w: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(9)</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9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investments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divestiture, net of cash divested</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20,400</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(2,786)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19,391</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the purchase of treasury stock</w:t>
            </w:r>
          </w:p>
        </w:tc>
        <w:tc>
          <w:tcPr>
            <w:tcW w:w="9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196"/>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303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rates changes on cash, cash equivalents, and restricted cash</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(731)</w:t>
            </w:r>
          </w:p>
        </w:tc>
      </w:tr>
      <w:tr>
        <w:trPr>
          <w:trHeight w:val="203"/>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(3,121)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(5,905)</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229,111</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180,002</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223,206</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179,207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222,411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cash, cash equivalents, and restricted cash at end of period</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180,002</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223,206</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FF0FC"/>
          </w:tcPr>
          <w:p>
            <w:pPr>
              <w:spacing w:after="0"/>
              <w:rPr>
                <w:sz w:val="17"/>
                <w:szCs w:val="17"/>
                <w:color w:val="auto"/>
              </w:rPr>
            </w:pPr>
          </w:p>
        </w:tc>
      </w:tr>
      <w:tr>
        <w:trPr>
          <w:trHeight w:val="1425"/>
        </w:trPr>
        <w:tc>
          <w:tcPr>
            <w:tcW w:w="7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-2776855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generally accepted accounting principles in the United States, of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and in measuring our performance relative to that of our competitors. We utilize adjusted EBITDA as the primary measure of our performance.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interest income and other income, net, (ii) tax benefit and expense, (iii) depreciation and amortization, (iv) gain on divestiture, (v) stock-based compensation expense and (vi) severance and strategic transformation costs.</w:t>
      </w:r>
    </w:p>
    <w:p>
      <w:pPr>
        <w:spacing w:after="0" w:line="16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We believe adjusted EBITDA is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adjusted EBITDA from the most comparable GAAP measure, net loss, for the three months ended </w:t>
      </w:r>
      <w:r>
        <w:rPr>
          <w:rFonts w:ascii="Times New Roman" w:cs="Times New Roman" w:eastAsia="Times New Roman" w:hAnsi="Times New Roman"/>
          <w:sz w:val="18"/>
          <w:szCs w:val="18"/>
          <w:u w:val="single" w:color="auto"/>
          <w:color w:val="auto"/>
        </w:rPr>
        <w:t>March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2026 and 2025 and the three months ended December 31, 2025:</w:t>
      </w:r>
    </w:p>
    <w:p>
      <w:pPr>
        <w:spacing w:after="0" w:line="200" w:lineRule="exact"/>
        <w:rPr>
          <w:sz w:val="20"/>
          <w:szCs w:val="20"/>
          <w:color w:val="auto"/>
        </w:rPr>
      </w:pP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9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9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64"/>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(10,301)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(18,356)</w:t>
            </w:r>
          </w:p>
        </w:tc>
        <w:tc>
          <w:tcPr>
            <w:tcW w:w="12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(25,169)</w:t>
            </w:r>
          </w:p>
        </w:tc>
        <w:tc>
          <w:tcPr>
            <w:tcW w:w="0" w:type="dxa"/>
            <w:vAlign w:val="bottom"/>
          </w:tcPr>
          <w:p>
            <w:pPr>
              <w:spacing w:after="0"/>
              <w:rPr>
                <w:sz w:val="1"/>
                <w:szCs w:val="1"/>
                <w:color w:val="auto"/>
              </w:rPr>
            </w:pPr>
          </w:p>
        </w:tc>
      </w:tr>
      <w:tr>
        <w:trPr>
          <w:trHeight w:val="234"/>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7,563</w:t>
            </w:r>
          </w:p>
        </w:tc>
        <w:tc>
          <w:tcPr>
            <w:tcW w:w="30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7,800</w:t>
            </w:r>
          </w:p>
        </w:tc>
        <w:tc>
          <w:tcPr>
            <w:tcW w:w="26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2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640" w:type="dxa"/>
            <w:vAlign w:val="bottom"/>
          </w:tcPr>
          <w:p>
            <w:pPr>
              <w:spacing w:after="0"/>
              <w:rPr>
                <w:sz w:val="19"/>
                <w:szCs w:val="19"/>
                <w:color w:val="auto"/>
              </w:rPr>
            </w:pP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(2,688)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FF0FC"/>
          </w:tcPr>
          <w:p>
            <w:pPr>
              <w:ind w:left="100"/>
              <w:spacing w:after="0" w:line="270" w:lineRule="exact"/>
              <w:rPr>
                <w:sz w:val="20"/>
                <w:szCs w:val="20"/>
                <w:color w:val="auto"/>
              </w:rPr>
            </w:pPr>
            <w:r>
              <w:rPr>
                <w:rFonts w:ascii="Times New Roman" w:cs="Times New Roman" w:eastAsia="Times New Roman" w:hAnsi="Times New Roman"/>
                <w:sz w:val="18"/>
                <w:szCs w:val="18"/>
                <w:color w:val="auto"/>
              </w:rPr>
              <w:t>Net gain on divestiture</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(7,027)</w:t>
            </w:r>
          </w:p>
        </w:tc>
        <w:tc>
          <w:tcPr>
            <w:tcW w:w="30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(10,713)</w:t>
            </w:r>
          </w:p>
        </w:tc>
        <w:tc>
          <w:tcPr>
            <w:tcW w:w="26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0"/>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0"/>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2,304</w:t>
            </w:r>
          </w:p>
        </w:tc>
        <w:tc>
          <w:tcPr>
            <w:tcW w:w="30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7,686</w:t>
            </w:r>
          </w:p>
        </w:tc>
        <w:tc>
          <w:tcPr>
            <w:tcW w:w="26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70"/>
        </w:trPr>
        <w:tc>
          <w:tcPr>
            <w:tcW w:w="5100" w:type="dxa"/>
            <w:vAlign w:val="bottom"/>
          </w:tcPr>
          <w:p>
            <w:pPr>
              <w:ind w:left="100"/>
              <w:spacing w:after="0" w:line="270" w:lineRule="exact"/>
              <w:rPr>
                <w:sz w:val="20"/>
                <w:szCs w:val="20"/>
                <w:color w:val="auto"/>
              </w:rPr>
            </w:pPr>
            <w:r>
              <w:rPr>
                <w:rFonts w:ascii="Times New Roman" w:cs="Times New Roman" w:eastAsia="Times New Roman" w:hAnsi="Times New Roman"/>
                <w:sz w:val="18"/>
                <w:szCs w:val="18"/>
                <w:color w:val="auto"/>
              </w:rPr>
              <w:t>Severance and strategic transformation costs</w:t>
            </w:r>
            <w:r>
              <w:rPr>
                <w:rFonts w:ascii="Times New Roman" w:cs="Times New Roman" w:eastAsia="Times New Roman" w:hAnsi="Times New Roman"/>
                <w:sz w:val="24"/>
                <w:szCs w:val="24"/>
                <w:color w:val="auto"/>
                <w:vertAlign w:val="superscript"/>
              </w:rPr>
              <w:t>(1)</w:t>
            </w:r>
          </w:p>
        </w:tc>
        <w:tc>
          <w:tcPr>
            <w:tcW w:w="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4,477</w:t>
            </w:r>
          </w:p>
        </w:tc>
        <w:tc>
          <w:tcPr>
            <w:tcW w:w="3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3,465</w:t>
            </w:r>
          </w:p>
        </w:tc>
        <w:tc>
          <w:tcPr>
            <w:tcW w:w="26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76"/>
        </w:trPr>
        <w:tc>
          <w:tcPr>
            <w:tcW w:w="5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(3,080)</w:t>
            </w: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(12,238)</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188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1885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163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163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86" w:lineRule="exact"/>
        <w:rPr>
          <w:sz w:val="20"/>
          <w:szCs w:val="20"/>
          <w:color w:val="auto"/>
        </w:rPr>
      </w:pPr>
    </w:p>
    <w:p>
      <w:pPr>
        <w:ind w:left="900" w:right="20" w:hanging="518"/>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strategic transformation costs include expenses associated with the termination of employees and expenses (including abandonment of our corporate headquarters) that focus on transforming the strategy of the Company’s sales and growth organization as well as our overall cost structure.</w:t>
      </w:r>
    </w:p>
    <w:p>
      <w:pPr>
        <w:spacing w:after="0" w:line="6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divestiture is related to the gain recognized on the sale of our APC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2026-05-05T15:24:01Z</dcterms:created>
  <dcterms:modified xsi:type="dcterms:W3CDTF">2026-05-05T15:24:01Z</dcterms:modified>
</cp:coreProperties>
</file>